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61666" w:rsidRDefault="00F92268" w:rsidP="00850792">
      <w:pPr>
        <w:pStyle w:val="BodyText"/>
        <w:rPr>
          <w:sz w:val="6"/>
          <w:szCs w:val="6"/>
        </w:rPr>
      </w:pPr>
      <w:r w:rsidRPr="00A6166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6166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61666" w:rsidRDefault="00F92268" w:rsidP="00F246C7">
            <w:pPr>
              <w:pStyle w:val="RefTableData"/>
            </w:pPr>
            <w:r w:rsidRPr="00A61666">
              <w:t>Reference number(s)</w:t>
            </w:r>
          </w:p>
        </w:tc>
      </w:tr>
      <w:tr w:rsidR="00F92268" w:rsidRPr="00A6166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4B4E06C" w:rsidR="00F92268" w:rsidRPr="00A61666" w:rsidRDefault="00810D05" w:rsidP="00F246C7">
            <w:pPr>
              <w:pStyle w:val="RefTableHeader"/>
            </w:pPr>
            <w:r w:rsidRPr="00A61666">
              <w:t>5600-A</w:t>
            </w:r>
          </w:p>
        </w:tc>
      </w:tr>
    </w:tbl>
    <w:p w14:paraId="74FBA5B4" w14:textId="77777777" w:rsidR="00051356" w:rsidRPr="00A61666" w:rsidRDefault="00051356" w:rsidP="00A672B3">
      <w:pPr>
        <w:pStyle w:val="BodyText"/>
        <w:rPr>
          <w:b/>
          <w:bCs/>
          <w:sz w:val="16"/>
          <w:szCs w:val="16"/>
        </w:rPr>
        <w:sectPr w:rsidR="00051356" w:rsidRPr="00A61666" w:rsidSect="001E32B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04323747" w:rsidR="004B15BB" w:rsidRPr="00A61666" w:rsidRDefault="007D20F1" w:rsidP="007E5C16">
      <w:pPr>
        <w:pStyle w:val="Heading1"/>
      </w:pPr>
      <w:r w:rsidRPr="00A61666">
        <w:t>Specialty Guideline Management</w:t>
      </w:r>
      <w:r w:rsidR="008C54D9" w:rsidRPr="00A61666">
        <w:br/>
      </w:r>
      <w:proofErr w:type="spellStart"/>
      <w:r w:rsidRPr="00A61666">
        <w:t>Sotyktu</w:t>
      </w:r>
      <w:proofErr w:type="spellEnd"/>
    </w:p>
    <w:p w14:paraId="78861C92" w14:textId="24221BD8" w:rsidR="00203468" w:rsidRPr="00A61666" w:rsidRDefault="00C64534" w:rsidP="008E0F0D">
      <w:pPr>
        <w:pStyle w:val="Heading2"/>
      </w:pPr>
      <w:r w:rsidRPr="00A61666">
        <w:t xml:space="preserve">Products Referenced by this </w:t>
      </w:r>
      <w:r w:rsidR="00501602" w:rsidRPr="00A61666">
        <w:t>Document</w:t>
      </w:r>
    </w:p>
    <w:p w14:paraId="5455152B" w14:textId="6F45AE4C" w:rsidR="008E0F0D" w:rsidRPr="00A61666" w:rsidRDefault="00D82D85" w:rsidP="008B73E8">
      <w:pPr>
        <w:pStyle w:val="BodyText"/>
      </w:pPr>
      <w:r w:rsidRPr="00A61666">
        <w:t xml:space="preserve">Drugs that are listed in the </w:t>
      </w:r>
      <w:r w:rsidR="000315F1" w:rsidRPr="00A61666">
        <w:t>following table</w:t>
      </w:r>
      <w:r w:rsidRPr="00A61666">
        <w:t xml:space="preserve"> include both brand and generic and all dosage forms and strengths unless otherwise stated. </w:t>
      </w:r>
      <w:r w:rsidR="00A347E8">
        <w:t>Over</w:t>
      </w:r>
      <w:r w:rsidR="005C153B">
        <w:t>-</w:t>
      </w:r>
      <w:r w:rsidR="00A347E8">
        <w:t>the</w:t>
      </w:r>
      <w:r w:rsidR="005C153B">
        <w:t>-</w:t>
      </w:r>
      <w:r w:rsidR="00A347E8">
        <w:t>counter (</w:t>
      </w:r>
      <w:r w:rsidRPr="00A61666">
        <w:t>OTC</w:t>
      </w:r>
      <w:r w:rsidR="00291F48">
        <w:t>)</w:t>
      </w:r>
      <w:r w:rsidRPr="00A61666">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A61666" w14:paraId="158421F8" w14:textId="77777777" w:rsidTr="000C5A6F">
        <w:trPr>
          <w:cantSplit/>
          <w:trHeight w:val="288"/>
          <w:tblHeader/>
        </w:trPr>
        <w:tc>
          <w:tcPr>
            <w:tcW w:w="5265" w:type="dxa"/>
            <w:vAlign w:val="center"/>
          </w:tcPr>
          <w:p w14:paraId="2A27354A" w14:textId="1390179E" w:rsidR="00252CE1" w:rsidRPr="00A61666" w:rsidRDefault="00252CE1" w:rsidP="00AA1E6A">
            <w:pPr>
              <w:pStyle w:val="TableHeader"/>
            </w:pPr>
            <w:bookmarkStart w:id="0" w:name="_Hlk159603270"/>
            <w:r w:rsidRPr="00A61666">
              <w:t>Brand Name</w:t>
            </w:r>
          </w:p>
        </w:tc>
        <w:tc>
          <w:tcPr>
            <w:tcW w:w="5595" w:type="dxa"/>
            <w:vAlign w:val="center"/>
          </w:tcPr>
          <w:p w14:paraId="3D342BE1" w14:textId="75F11EF1" w:rsidR="00252CE1" w:rsidRPr="00A61666" w:rsidRDefault="00252CE1" w:rsidP="00AA1E6A">
            <w:pPr>
              <w:pStyle w:val="TableHeader"/>
            </w:pPr>
            <w:r w:rsidRPr="00A61666">
              <w:t>Generic Name</w:t>
            </w:r>
          </w:p>
        </w:tc>
      </w:tr>
      <w:tr w:rsidR="00585FFF" w:rsidRPr="00A61666" w14:paraId="2AD5C02D" w14:textId="77777777" w:rsidTr="000C5A6F">
        <w:trPr>
          <w:cantSplit/>
        </w:trPr>
        <w:tc>
          <w:tcPr>
            <w:tcW w:w="5265" w:type="dxa"/>
          </w:tcPr>
          <w:p w14:paraId="2D8FA8E3" w14:textId="5D8BCBCA" w:rsidR="00585FFF" w:rsidRPr="00A61666" w:rsidRDefault="007D20F1" w:rsidP="00E82ABA">
            <w:pPr>
              <w:pStyle w:val="TableDataUnpadded"/>
            </w:pPr>
            <w:proofErr w:type="spellStart"/>
            <w:r w:rsidRPr="00A61666">
              <w:t>Sotyktu</w:t>
            </w:r>
            <w:proofErr w:type="spellEnd"/>
          </w:p>
        </w:tc>
        <w:tc>
          <w:tcPr>
            <w:tcW w:w="5595" w:type="dxa"/>
          </w:tcPr>
          <w:p w14:paraId="7E26A004" w14:textId="0BB1193E" w:rsidR="00585FFF" w:rsidRPr="00A61666" w:rsidRDefault="007D20F1" w:rsidP="00E82ABA">
            <w:pPr>
              <w:pStyle w:val="TableDataUnpadded"/>
            </w:pPr>
            <w:proofErr w:type="spellStart"/>
            <w:r w:rsidRPr="00A61666">
              <w:t>deucravacitinib</w:t>
            </w:r>
            <w:proofErr w:type="spellEnd"/>
          </w:p>
        </w:tc>
      </w:tr>
    </w:tbl>
    <w:bookmarkEnd w:id="0"/>
    <w:p w14:paraId="14CE6108" w14:textId="4B92E969" w:rsidR="00FC1AAD" w:rsidRPr="00A61666" w:rsidRDefault="00ED052F" w:rsidP="00FF66BF">
      <w:pPr>
        <w:pStyle w:val="Heading2"/>
        <w:tabs>
          <w:tab w:val="left" w:pos="9195"/>
        </w:tabs>
      </w:pPr>
      <w:r w:rsidRPr="00A61666">
        <w:t>Indications</w:t>
      </w:r>
    </w:p>
    <w:p w14:paraId="62B18126" w14:textId="6B481048" w:rsidR="002C5371" w:rsidRPr="00A61666" w:rsidRDefault="002C5371" w:rsidP="002C5371">
      <w:pPr>
        <w:pStyle w:val="BodyText"/>
      </w:pPr>
      <w:r w:rsidRPr="00A61666">
        <w:t>The indications below including FDA-approved indications and compendial uses are considered a covered benefit provided that all the approval criteria are met and the member has no exclusions to the prescribed therapy.</w:t>
      </w:r>
    </w:p>
    <w:p w14:paraId="134B5687" w14:textId="0828E769" w:rsidR="00ED052F" w:rsidRPr="00B506A0" w:rsidRDefault="00ED052F" w:rsidP="00ED052F">
      <w:pPr>
        <w:pStyle w:val="Heading3"/>
        <w:keepNext w:val="0"/>
        <w:rPr>
          <w:vertAlign w:val="superscript"/>
        </w:rPr>
      </w:pPr>
      <w:r w:rsidRPr="00A61666">
        <w:t>FDA-approved Indication</w:t>
      </w:r>
      <w:r w:rsidR="00DA060E">
        <w:t>s</w:t>
      </w:r>
      <w:r w:rsidR="005C153B">
        <w:rPr>
          <w:vertAlign w:val="superscript"/>
        </w:rPr>
        <w:t>1</w:t>
      </w:r>
    </w:p>
    <w:p w14:paraId="653A10C4" w14:textId="08D3FF0E" w:rsidR="002C5371" w:rsidRPr="00A61666" w:rsidRDefault="002C5371" w:rsidP="002C5371">
      <w:pPr>
        <w:pStyle w:val="BodyText"/>
      </w:pPr>
      <w:r w:rsidRPr="00A61666">
        <w:t>Treatment of adult patients with moderate to severe plaque psoriasis (</w:t>
      </w:r>
      <w:proofErr w:type="spellStart"/>
      <w:r w:rsidRPr="00A61666">
        <w:t>PsO</w:t>
      </w:r>
      <w:proofErr w:type="spellEnd"/>
      <w:r w:rsidRPr="00A61666">
        <w:t>) who are candidates for systemic therapy or phototherapy.</w:t>
      </w:r>
    </w:p>
    <w:p w14:paraId="1B4D1F68" w14:textId="7FA21A32" w:rsidR="002C5371" w:rsidRPr="00A61666" w:rsidRDefault="002C5371" w:rsidP="002C5371">
      <w:pPr>
        <w:pStyle w:val="BodyText"/>
      </w:pPr>
      <w:r w:rsidRPr="00A61666">
        <w:t>All other indications are considered experimental/investigational and not medically necessary.</w:t>
      </w:r>
    </w:p>
    <w:p w14:paraId="36381B6D" w14:textId="64876184" w:rsidR="000D2496" w:rsidRPr="00A61666" w:rsidRDefault="000D2496" w:rsidP="000D2496">
      <w:pPr>
        <w:pStyle w:val="Heading2"/>
      </w:pPr>
      <w:r w:rsidRPr="00A61666">
        <w:t>Documentation</w:t>
      </w:r>
    </w:p>
    <w:p w14:paraId="69C70F3D" w14:textId="00E9C63D" w:rsidR="002C5371" w:rsidRPr="00A61666" w:rsidRDefault="002C5371" w:rsidP="002C5371">
      <w:pPr>
        <w:pStyle w:val="BodyText"/>
      </w:pPr>
      <w:r w:rsidRPr="00A61666">
        <w:t>Submission of the following information is necessary to initiate the prior authorization review:</w:t>
      </w:r>
    </w:p>
    <w:p w14:paraId="14A08A67" w14:textId="05306442" w:rsidR="002C5371" w:rsidRPr="00A61666" w:rsidRDefault="002C5371" w:rsidP="00B506A0">
      <w:pPr>
        <w:pStyle w:val="Heading3"/>
      </w:pPr>
      <w:r w:rsidRPr="00A61666">
        <w:lastRenderedPageBreak/>
        <w:t>Initial requests</w:t>
      </w:r>
    </w:p>
    <w:p w14:paraId="6DEA52D4" w14:textId="0D501070" w:rsidR="002C5371" w:rsidRPr="00A61666" w:rsidRDefault="002C5371" w:rsidP="00B506A0">
      <w:pPr>
        <w:pStyle w:val="ListParagraph"/>
        <w:numPr>
          <w:ilvl w:val="0"/>
          <w:numId w:val="41"/>
        </w:numPr>
      </w:pPr>
      <w:r w:rsidRPr="00A61666">
        <w:t>Chart notes or medical record documentation of affected area(s) and body surface area (BSA) affected (if applicable).</w:t>
      </w:r>
    </w:p>
    <w:p w14:paraId="51787ECF" w14:textId="536E13EB" w:rsidR="002C5371" w:rsidRPr="00A61666" w:rsidRDefault="002C5371" w:rsidP="00B506A0">
      <w:pPr>
        <w:pStyle w:val="ListParagraph"/>
        <w:numPr>
          <w:ilvl w:val="0"/>
          <w:numId w:val="41"/>
        </w:numPr>
      </w:pPr>
      <w:r w:rsidRPr="00A61666">
        <w:t>Chart notes, medical record documentation, or claims history supporting previous medications tried (if applicable), including response to therapy. If therapy is not advisable, documentation of clinical reason to avoid therapy.</w:t>
      </w:r>
    </w:p>
    <w:p w14:paraId="1782EB82" w14:textId="2C82F62B" w:rsidR="005C153B" w:rsidRDefault="002C5371" w:rsidP="00B506A0">
      <w:pPr>
        <w:pStyle w:val="Heading3"/>
      </w:pPr>
      <w:r w:rsidRPr="00A61666">
        <w:t>Continuation requests</w:t>
      </w:r>
    </w:p>
    <w:p w14:paraId="2A9C9CAD" w14:textId="2E8484BF" w:rsidR="002C5371" w:rsidRPr="00A61666" w:rsidRDefault="002C5371" w:rsidP="00E040DD">
      <w:pPr>
        <w:pStyle w:val="BodyText"/>
      </w:pPr>
      <w:r w:rsidRPr="00A61666">
        <w:t>Chart notes or medical record documentation of decreased body surface area (BSA) affected and/or improvement in signs and symptoms.</w:t>
      </w:r>
    </w:p>
    <w:p w14:paraId="4A5B15F8" w14:textId="7968887D" w:rsidR="00006174" w:rsidRPr="00A61666" w:rsidRDefault="00006174" w:rsidP="00006174">
      <w:pPr>
        <w:pStyle w:val="Heading2"/>
      </w:pPr>
      <w:r w:rsidRPr="00A61666">
        <w:t>Prescriber Specialties</w:t>
      </w:r>
    </w:p>
    <w:p w14:paraId="5ABD20D2" w14:textId="0D74C2D6" w:rsidR="006417D8" w:rsidRPr="00A61666" w:rsidRDefault="006417D8" w:rsidP="006417D8">
      <w:pPr>
        <w:pStyle w:val="BodyText"/>
      </w:pPr>
      <w:r w:rsidRPr="00A61666">
        <w:t>This medication must be prescribed by or in consultation with a dermatologist.</w:t>
      </w:r>
    </w:p>
    <w:p w14:paraId="50A38FBA" w14:textId="68097155" w:rsidR="00FE0C63" w:rsidRPr="00A61666" w:rsidRDefault="00685107" w:rsidP="00E050E1">
      <w:pPr>
        <w:pStyle w:val="Heading2"/>
      </w:pPr>
      <w:r w:rsidRPr="00A61666">
        <w:t>Coverage Criteria</w:t>
      </w:r>
    </w:p>
    <w:p w14:paraId="77EFCD54" w14:textId="41A150DC" w:rsidR="006417D8" w:rsidRPr="005C153B" w:rsidRDefault="006417D8" w:rsidP="006417D8">
      <w:pPr>
        <w:pStyle w:val="Heading3"/>
      </w:pPr>
      <w:r w:rsidRPr="00A61666">
        <w:t>Plaque psoriasis (</w:t>
      </w:r>
      <w:proofErr w:type="spellStart"/>
      <w:r w:rsidRPr="00A61666">
        <w:t>PsO</w:t>
      </w:r>
      <w:proofErr w:type="spellEnd"/>
      <w:r w:rsidRPr="00A61666">
        <w:t>)</w:t>
      </w:r>
      <w:r w:rsidR="005C153B">
        <w:rPr>
          <w:vertAlign w:val="superscript"/>
        </w:rPr>
        <w:t>1-6</w:t>
      </w:r>
    </w:p>
    <w:p w14:paraId="64CC8075" w14:textId="2E76A939" w:rsidR="006417D8" w:rsidRPr="00E64F2F" w:rsidRDefault="006417D8" w:rsidP="00E64F2F">
      <w:pPr>
        <w:pStyle w:val="BodyText"/>
      </w:pPr>
      <w:r w:rsidRPr="00A61666">
        <w:t xml:space="preserve">Authorization of 12 months may be granted for adult members who have previously received a biologic </w:t>
      </w:r>
      <w:r w:rsidRPr="00E64F2F">
        <w:t>or targeted synthetic drug (e.g., Otezla) indicated for treatment of moderate to severe plaque psoriasis.</w:t>
      </w:r>
    </w:p>
    <w:p w14:paraId="1468E6C4" w14:textId="4B368560" w:rsidR="006417D8" w:rsidRPr="00A61666" w:rsidRDefault="006417D8" w:rsidP="00E64F2F">
      <w:pPr>
        <w:pStyle w:val="BodyText"/>
      </w:pPr>
      <w:r w:rsidRPr="00E64F2F">
        <w:t>Authorization of 12 months may be granted for adult members for treatment of moderate to severe plaque</w:t>
      </w:r>
      <w:r w:rsidRPr="00A61666">
        <w:t xml:space="preserve"> psoriasis when any of the following criteria is met:</w:t>
      </w:r>
    </w:p>
    <w:p w14:paraId="1769B403" w14:textId="50F12332" w:rsidR="006417D8" w:rsidRPr="00A61666" w:rsidRDefault="006417D8" w:rsidP="00E64F2F">
      <w:pPr>
        <w:pStyle w:val="ListParagraph"/>
        <w:numPr>
          <w:ilvl w:val="0"/>
          <w:numId w:val="47"/>
        </w:numPr>
        <w:ind w:left="720"/>
      </w:pPr>
      <w:r w:rsidRPr="00A61666">
        <w:t>Crucial body areas (e.g., hands, feet, face, neck, scalp, genitals/groin, intertriginous areas) are affected.</w:t>
      </w:r>
    </w:p>
    <w:p w14:paraId="4D2BA384" w14:textId="1AEE00E1" w:rsidR="006417D8" w:rsidRPr="00A61666" w:rsidRDefault="006417D8" w:rsidP="00E64F2F">
      <w:pPr>
        <w:pStyle w:val="ListParagraph"/>
        <w:numPr>
          <w:ilvl w:val="0"/>
          <w:numId w:val="47"/>
        </w:numPr>
        <w:ind w:left="720"/>
      </w:pPr>
      <w:r w:rsidRPr="00A61666">
        <w:t>At least 10% of body surface area (BSA) is affected.</w:t>
      </w:r>
    </w:p>
    <w:p w14:paraId="1E2CE349" w14:textId="157F42B0" w:rsidR="006417D8" w:rsidRPr="00A61666" w:rsidRDefault="006417D8" w:rsidP="00E64F2F">
      <w:pPr>
        <w:pStyle w:val="ListParagraph"/>
        <w:numPr>
          <w:ilvl w:val="0"/>
          <w:numId w:val="47"/>
        </w:numPr>
        <w:ind w:left="720"/>
      </w:pPr>
      <w:r w:rsidRPr="00A61666">
        <w:t xml:space="preserve">At least 3% of body surface area (BSA) is affected and the member meets </w:t>
      </w:r>
      <w:r w:rsidR="00A7182D">
        <w:t>either</w:t>
      </w:r>
      <w:r w:rsidR="00A7182D" w:rsidRPr="00A61666">
        <w:t xml:space="preserve"> </w:t>
      </w:r>
      <w:r w:rsidRPr="00A61666">
        <w:t>of the following criteria:</w:t>
      </w:r>
    </w:p>
    <w:p w14:paraId="3B182350" w14:textId="3766A072" w:rsidR="006417D8" w:rsidRPr="00E64F2F" w:rsidRDefault="006417D8" w:rsidP="00E64F2F">
      <w:pPr>
        <w:pStyle w:val="ListParagraph"/>
        <w:numPr>
          <w:ilvl w:val="1"/>
          <w:numId w:val="48"/>
        </w:numPr>
      </w:pPr>
      <w:r w:rsidRPr="00A61666">
        <w:t>Member has had an inadequate response or intolerance to either phototherapy (e.g</w:t>
      </w:r>
      <w:r w:rsidRPr="00E64F2F">
        <w:t>., UVB, PUVA) or pharmacologic treatment with methotrexate, cyclosporine, or acitretin.</w:t>
      </w:r>
    </w:p>
    <w:p w14:paraId="5ADF330E" w14:textId="0B481C81" w:rsidR="006417D8" w:rsidRPr="00A61666" w:rsidRDefault="006417D8" w:rsidP="00E64F2F">
      <w:pPr>
        <w:pStyle w:val="ListParagraph"/>
        <w:numPr>
          <w:ilvl w:val="1"/>
          <w:numId w:val="48"/>
        </w:numPr>
      </w:pPr>
      <w:r w:rsidRPr="00E64F2F">
        <w:t>Membe</w:t>
      </w:r>
      <w:r w:rsidRPr="00A61666">
        <w:t>r has a clinical reason to avoid pharmacologic treatment with methotrexate, cyclosporine, and acitretin (see Appendix).</w:t>
      </w:r>
    </w:p>
    <w:p w14:paraId="3A643EC3" w14:textId="4D564033" w:rsidR="00A501AC" w:rsidRPr="00A61666" w:rsidRDefault="00A501AC" w:rsidP="00A501AC">
      <w:pPr>
        <w:pStyle w:val="Heading2"/>
      </w:pPr>
      <w:r w:rsidRPr="00A61666">
        <w:lastRenderedPageBreak/>
        <w:t>Continuation of Therapy</w:t>
      </w:r>
    </w:p>
    <w:p w14:paraId="59B3C9E7" w14:textId="77777777" w:rsidR="006417D8" w:rsidRPr="00A61666" w:rsidRDefault="006417D8" w:rsidP="006417D8">
      <w:pPr>
        <w:pStyle w:val="BodyText"/>
      </w:pPr>
      <w:r w:rsidRPr="00A61666">
        <w:t>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61557842" w14:textId="1A1DFBA3" w:rsidR="006417D8" w:rsidRPr="00A61666" w:rsidRDefault="006417D8" w:rsidP="006417D8">
      <w:pPr>
        <w:pStyle w:val="ListParagraph"/>
        <w:numPr>
          <w:ilvl w:val="0"/>
          <w:numId w:val="33"/>
        </w:numPr>
      </w:pPr>
      <w:r w:rsidRPr="00A61666">
        <w:t>Reduction in body surface area (BSA) affected from baseline</w:t>
      </w:r>
    </w:p>
    <w:p w14:paraId="09EA8DD0" w14:textId="69D79F5E" w:rsidR="006417D8" w:rsidRPr="00A61666" w:rsidRDefault="006417D8" w:rsidP="006417D8">
      <w:pPr>
        <w:pStyle w:val="ListParagraph"/>
        <w:numPr>
          <w:ilvl w:val="0"/>
          <w:numId w:val="33"/>
        </w:numPr>
      </w:pPr>
      <w:r w:rsidRPr="00A61666">
        <w:t>Improvement in signs and symptoms from baseline (e.g., itching, redness, flaking, scaling, burning, cracking, pain)</w:t>
      </w:r>
    </w:p>
    <w:p w14:paraId="05B6DEFF" w14:textId="3A8904B7" w:rsidR="008B1332" w:rsidRPr="00B506A0" w:rsidRDefault="008B1332" w:rsidP="008B1332">
      <w:pPr>
        <w:pStyle w:val="Heading2"/>
        <w:rPr>
          <w:vertAlign w:val="superscript"/>
        </w:rPr>
      </w:pPr>
      <w:r w:rsidRPr="00A61666">
        <w:t>Other</w:t>
      </w:r>
      <w:r w:rsidR="005C153B">
        <w:rPr>
          <w:vertAlign w:val="superscript"/>
        </w:rPr>
        <w:t>1,7</w:t>
      </w:r>
    </w:p>
    <w:p w14:paraId="19A8AA24" w14:textId="79553550" w:rsidR="006417D8" w:rsidRPr="00A61666" w:rsidRDefault="006417D8" w:rsidP="006417D8">
      <w:pPr>
        <w:pStyle w:val="BodyText"/>
      </w:pPr>
      <w:r w:rsidRPr="00A61666">
        <w:t>Member has had a documented negative tuberculosis (TB) test (which can include a tuberculosis skin test [</w:t>
      </w:r>
      <w:r w:rsidR="00336015">
        <w:t>TST</w:t>
      </w:r>
      <w:r w:rsidRPr="00A61666">
        <w:t>]</w:t>
      </w:r>
      <w:r w:rsidR="00336015">
        <w:t xml:space="preserve"> or</w:t>
      </w:r>
      <w:r w:rsidRPr="00A61666">
        <w:t xml:space="preserve"> an interferon-release assay [IGRA]) </w:t>
      </w:r>
      <w:r w:rsidRPr="0046600F">
        <w:t xml:space="preserve">within </w:t>
      </w:r>
      <w:r w:rsidR="00FE09A8" w:rsidRPr="0046600F">
        <w:t>12</w:t>
      </w:r>
      <w:r w:rsidRPr="0046600F">
        <w:t xml:space="preserve"> months of initiating</w:t>
      </w:r>
      <w:r w:rsidRPr="00A61666">
        <w:t xml:space="preserve"> therapy for persons who are naïve to biologic drugs or targeted synthetic drugs associated with an increased risk of TB.</w:t>
      </w:r>
    </w:p>
    <w:p w14:paraId="25B7D745" w14:textId="78FAF779" w:rsidR="006417D8" w:rsidRPr="00A61666" w:rsidRDefault="006417D8" w:rsidP="006417D8">
      <w:pPr>
        <w:pStyle w:val="BodyText"/>
      </w:pPr>
      <w:r w:rsidRPr="00A61666">
        <w:t>If the screening testing for TB is positive, there must be further testing to confirm there is no active disease</w:t>
      </w:r>
      <w:r w:rsidR="00F80F3F">
        <w:t xml:space="preserve"> (e.g., chest x-ray)</w:t>
      </w:r>
      <w:r w:rsidRPr="00A61666">
        <w:t>. Do not administer the requested medication to members with active TB infection. If there is latent disease, TB treatment must be started before initiation of the requested medication.</w:t>
      </w:r>
    </w:p>
    <w:p w14:paraId="23DBE9D2" w14:textId="3C775049" w:rsidR="006417D8" w:rsidRPr="00A61666" w:rsidRDefault="006417D8" w:rsidP="006417D8">
      <w:pPr>
        <w:pStyle w:val="BodyText"/>
      </w:pPr>
      <w:r w:rsidRPr="00A61666">
        <w:t>Member cannot use the requested medication concomitantly with any other biologic drug or targeted synthetic drug.</w:t>
      </w:r>
    </w:p>
    <w:p w14:paraId="3407B33B" w14:textId="334B8D57" w:rsidR="00420545" w:rsidRPr="00A61666" w:rsidRDefault="00420545" w:rsidP="00F70900">
      <w:pPr>
        <w:pStyle w:val="Heading2"/>
      </w:pPr>
      <w:r w:rsidRPr="00A61666">
        <w:t>Dosage and Administration</w:t>
      </w:r>
    </w:p>
    <w:p w14:paraId="698C6256" w14:textId="39A7E2CD" w:rsidR="00236570" w:rsidRPr="00A61666" w:rsidRDefault="00236570" w:rsidP="00236570">
      <w:pPr>
        <w:pStyle w:val="BodyText"/>
      </w:pPr>
      <w:r w:rsidRPr="00A61666">
        <w:t>Approvals may be subject to dosing limits in accordance with FDA-approved labeling, accepted compendia, and/or evidence-based practice guidelines.</w:t>
      </w:r>
    </w:p>
    <w:p w14:paraId="448BDC27" w14:textId="4EF4C7CE" w:rsidR="00236570" w:rsidRPr="00A61666" w:rsidRDefault="00236570" w:rsidP="00FF66BF">
      <w:pPr>
        <w:pStyle w:val="Heading2"/>
      </w:pPr>
      <w:r w:rsidRPr="00A61666">
        <w:t>Appendix</w:t>
      </w:r>
    </w:p>
    <w:p w14:paraId="60C18870" w14:textId="3E9DB031" w:rsidR="00236570" w:rsidRPr="00B506A0" w:rsidRDefault="00236570" w:rsidP="00B506A0">
      <w:pPr>
        <w:pStyle w:val="Heading3"/>
        <w:rPr>
          <w:vertAlign w:val="superscript"/>
        </w:rPr>
      </w:pPr>
      <w:r w:rsidRPr="00A61666">
        <w:t>Examples of Clinical Reasons to Avoid Pharmacologic Treatment with Methotrexate, Cyclosporine, or Acitretin</w:t>
      </w:r>
      <w:r w:rsidR="005C153B">
        <w:rPr>
          <w:vertAlign w:val="superscript"/>
        </w:rPr>
        <w:t>4</w:t>
      </w:r>
    </w:p>
    <w:p w14:paraId="7B9C275F" w14:textId="72DEAF29" w:rsidR="00236570" w:rsidRPr="00A61666" w:rsidRDefault="00236570" w:rsidP="005A2A28">
      <w:pPr>
        <w:pStyle w:val="ListParagraph"/>
        <w:numPr>
          <w:ilvl w:val="0"/>
          <w:numId w:val="44"/>
        </w:numPr>
      </w:pPr>
      <w:r w:rsidRPr="00A61666">
        <w:t>Clinical diagnosis of alcohol use disorder, alcoholic liver disease</w:t>
      </w:r>
      <w:r w:rsidR="00F66C7D">
        <w:t>,</w:t>
      </w:r>
      <w:r w:rsidRPr="00A61666">
        <w:t xml:space="preserve"> or other chronic liver disease</w:t>
      </w:r>
    </w:p>
    <w:p w14:paraId="309F5CED" w14:textId="186F173F" w:rsidR="00236570" w:rsidRPr="00A61666" w:rsidRDefault="00236570" w:rsidP="005A2A28">
      <w:pPr>
        <w:pStyle w:val="ListParagraph"/>
        <w:numPr>
          <w:ilvl w:val="0"/>
          <w:numId w:val="44"/>
        </w:numPr>
      </w:pPr>
      <w:r w:rsidRPr="00A61666">
        <w:t>Drug interaction</w:t>
      </w:r>
    </w:p>
    <w:p w14:paraId="6CBCBBD9" w14:textId="5CB7F642" w:rsidR="00236570" w:rsidRPr="00A61666" w:rsidRDefault="00236570" w:rsidP="005A2A28">
      <w:pPr>
        <w:pStyle w:val="ListParagraph"/>
        <w:numPr>
          <w:ilvl w:val="0"/>
          <w:numId w:val="44"/>
        </w:numPr>
      </w:pPr>
      <w:r w:rsidRPr="00A61666">
        <w:t>Risk of treatment-related toxicity</w:t>
      </w:r>
    </w:p>
    <w:p w14:paraId="1F7F662D" w14:textId="2158D721" w:rsidR="00236570" w:rsidRPr="00A61666" w:rsidRDefault="00236570" w:rsidP="005A2A28">
      <w:pPr>
        <w:pStyle w:val="ListParagraph"/>
        <w:numPr>
          <w:ilvl w:val="0"/>
          <w:numId w:val="44"/>
        </w:numPr>
      </w:pPr>
      <w:r w:rsidRPr="00A61666">
        <w:t>Pregnancy or currently planning pregnancy</w:t>
      </w:r>
    </w:p>
    <w:p w14:paraId="757F8703" w14:textId="5332BE36" w:rsidR="00236570" w:rsidRPr="00A61666" w:rsidRDefault="00236570" w:rsidP="005A2A28">
      <w:pPr>
        <w:pStyle w:val="ListParagraph"/>
        <w:numPr>
          <w:ilvl w:val="0"/>
          <w:numId w:val="44"/>
        </w:numPr>
      </w:pPr>
      <w:r w:rsidRPr="00A61666">
        <w:t>Breastfeeding</w:t>
      </w:r>
    </w:p>
    <w:p w14:paraId="386B86E9" w14:textId="67D13F47" w:rsidR="00236570" w:rsidRPr="00A61666" w:rsidRDefault="00236570" w:rsidP="005A2A28">
      <w:pPr>
        <w:pStyle w:val="ListParagraph"/>
        <w:numPr>
          <w:ilvl w:val="0"/>
          <w:numId w:val="44"/>
        </w:numPr>
      </w:pPr>
      <w:r w:rsidRPr="00A61666">
        <w:lastRenderedPageBreak/>
        <w:t>Significant comorbidity prohibits use of systemic agents (</w:t>
      </w:r>
      <w:r w:rsidR="007171DC" w:rsidRPr="00A61666">
        <w:t>e</w:t>
      </w:r>
      <w:r w:rsidR="007171DC">
        <w:t>.g.</w:t>
      </w:r>
      <w:r w:rsidR="00A42FA9">
        <w:t>,</w:t>
      </w:r>
      <w:r w:rsidRPr="00A61666">
        <w:t xml:space="preserve"> liver or kidney disease, blood dyscrasias, uncontrolled hypertension)</w:t>
      </w:r>
    </w:p>
    <w:p w14:paraId="10236633" w14:textId="3A0F1B6B" w:rsidR="00236570" w:rsidRPr="00A61666" w:rsidRDefault="00236570" w:rsidP="005A2A28">
      <w:pPr>
        <w:pStyle w:val="ListParagraph"/>
        <w:numPr>
          <w:ilvl w:val="0"/>
          <w:numId w:val="44"/>
        </w:numPr>
      </w:pPr>
      <w:r w:rsidRPr="00A61666">
        <w:t>Hypersensitivity</w:t>
      </w:r>
    </w:p>
    <w:p w14:paraId="32888DA4" w14:textId="77777777" w:rsidR="00A61666" w:rsidRPr="00A61666" w:rsidRDefault="00236570" w:rsidP="005A2A28">
      <w:pPr>
        <w:pStyle w:val="ListParagraph"/>
        <w:numPr>
          <w:ilvl w:val="0"/>
          <w:numId w:val="44"/>
        </w:numPr>
      </w:pPr>
      <w:r w:rsidRPr="00A61666">
        <w:t>History of intolerance or adverse event</w:t>
      </w:r>
    </w:p>
    <w:p w14:paraId="10DA4309" w14:textId="7D80D7AD" w:rsidR="00FF66BF" w:rsidRPr="00A61666" w:rsidRDefault="00FF66BF" w:rsidP="00FF66BF">
      <w:pPr>
        <w:pStyle w:val="Heading2"/>
      </w:pPr>
      <w:r w:rsidRPr="00A61666">
        <w:t>References</w:t>
      </w:r>
    </w:p>
    <w:p w14:paraId="49F1F751" w14:textId="331E3467" w:rsidR="00810D05" w:rsidRPr="00A61666" w:rsidRDefault="00810D05" w:rsidP="00A61666">
      <w:pPr>
        <w:pStyle w:val="ListParagraph"/>
        <w:numPr>
          <w:ilvl w:val="0"/>
          <w:numId w:val="45"/>
        </w:numPr>
        <w:ind w:left="360"/>
      </w:pPr>
      <w:proofErr w:type="spellStart"/>
      <w:r w:rsidRPr="00A61666">
        <w:t>Sotyktu</w:t>
      </w:r>
      <w:proofErr w:type="spellEnd"/>
      <w:r w:rsidRPr="00A61666">
        <w:t xml:space="preserve"> [package insert]. Princeton, NJ: Bristol-Myers Squibb Company; September 2022.</w:t>
      </w:r>
    </w:p>
    <w:p w14:paraId="593D6CF0" w14:textId="54EB41DC" w:rsidR="00810D05" w:rsidRPr="00A61666" w:rsidRDefault="00810D05" w:rsidP="00A61666">
      <w:pPr>
        <w:pStyle w:val="ListParagraph"/>
        <w:numPr>
          <w:ilvl w:val="0"/>
          <w:numId w:val="45"/>
        </w:numPr>
        <w:ind w:left="360"/>
      </w:pPr>
      <w:r w:rsidRPr="00A61666">
        <w:t xml:space="preserve">Armstrong AW, Gooderham M, Warren RB, et al. </w:t>
      </w:r>
      <w:proofErr w:type="spellStart"/>
      <w:r w:rsidRPr="00A61666">
        <w:t>Deucravacitinib</w:t>
      </w:r>
      <w:proofErr w:type="spellEnd"/>
      <w:r w:rsidRPr="00A61666">
        <w:t xml:space="preserve"> versus placebo and apremilast in moderate to severe plaque psoriasis: efficacy and safety results from the 52-week, randomized, double-blinded, placebo-controlled phase 3 POETYK PSO-1 trial. J AM </w:t>
      </w:r>
      <w:proofErr w:type="spellStart"/>
      <w:r w:rsidRPr="00A61666">
        <w:t>Acad</w:t>
      </w:r>
      <w:proofErr w:type="spellEnd"/>
      <w:r w:rsidRPr="00A61666">
        <w:t xml:space="preserve"> Dermatol. 2023;88(1):29-39. doi:10.1016/j.jaad.2022.07.002.</w:t>
      </w:r>
    </w:p>
    <w:p w14:paraId="26FFF87E" w14:textId="31CA68D9" w:rsidR="00810D05" w:rsidRPr="00A61666" w:rsidRDefault="00810D05" w:rsidP="00A61666">
      <w:pPr>
        <w:pStyle w:val="ListParagraph"/>
        <w:numPr>
          <w:ilvl w:val="0"/>
          <w:numId w:val="45"/>
        </w:numPr>
        <w:ind w:left="360"/>
      </w:pPr>
      <w:r w:rsidRPr="00A61666">
        <w:t xml:space="preserve">Strober B, Thaçi D, </w:t>
      </w:r>
      <w:proofErr w:type="spellStart"/>
      <w:r w:rsidRPr="00A61666">
        <w:t>Sofen</w:t>
      </w:r>
      <w:proofErr w:type="spellEnd"/>
      <w:r w:rsidRPr="00A61666">
        <w:t xml:space="preserve"> H, et al. </w:t>
      </w:r>
      <w:proofErr w:type="spellStart"/>
      <w:r w:rsidRPr="00A61666">
        <w:t>Deucravacitinib</w:t>
      </w:r>
      <w:proofErr w:type="spellEnd"/>
      <w:r w:rsidRPr="00A61666">
        <w:t xml:space="preserve"> versus placebo and apremilast in moderate to severe plaque psoriasis: Efficacy and safety results from the 52-week, randomized, double-blinded, phase 3 Program </w:t>
      </w:r>
      <w:proofErr w:type="spellStart"/>
      <w:r w:rsidRPr="00A61666">
        <w:t>fOr</w:t>
      </w:r>
      <w:proofErr w:type="spellEnd"/>
      <w:r w:rsidRPr="00A61666">
        <w:t xml:space="preserve"> Evaluation of TYK2 inhibitor psoriasis second trial. J Am </w:t>
      </w:r>
      <w:proofErr w:type="spellStart"/>
      <w:r w:rsidRPr="00A61666">
        <w:t>Acad</w:t>
      </w:r>
      <w:proofErr w:type="spellEnd"/>
      <w:r w:rsidRPr="00A61666">
        <w:t xml:space="preserve"> Dermatol. 2023;88(1):40-51.</w:t>
      </w:r>
    </w:p>
    <w:p w14:paraId="44ECCD9E" w14:textId="560C068D" w:rsidR="00810D05" w:rsidRPr="00A61666" w:rsidRDefault="00810D05" w:rsidP="00A61666">
      <w:pPr>
        <w:pStyle w:val="ListParagraph"/>
        <w:numPr>
          <w:ilvl w:val="0"/>
          <w:numId w:val="45"/>
        </w:numPr>
        <w:ind w:left="360"/>
      </w:pPr>
      <w:proofErr w:type="spellStart"/>
      <w:r w:rsidRPr="00A61666">
        <w:t>Menter</w:t>
      </w:r>
      <w:proofErr w:type="spellEnd"/>
      <w:r w:rsidRPr="00A61666">
        <w:t xml:space="preserve"> A, Gelfand JM, Connor C, et al. Joint AAD-NPF guidelines of care for the management of psoriasis with systemic nonbiologic therapies. J Am </w:t>
      </w:r>
      <w:proofErr w:type="spellStart"/>
      <w:r w:rsidRPr="00A61666">
        <w:t>Acad</w:t>
      </w:r>
      <w:proofErr w:type="spellEnd"/>
      <w:r w:rsidRPr="00A61666">
        <w:t xml:space="preserve"> Dermatol. 2020;82(6): 1445-86.</w:t>
      </w:r>
    </w:p>
    <w:p w14:paraId="4B990A0D" w14:textId="2B031F09" w:rsidR="00810D05" w:rsidRPr="00A61666" w:rsidRDefault="00810D05" w:rsidP="00A61666">
      <w:pPr>
        <w:pStyle w:val="ListParagraph"/>
        <w:numPr>
          <w:ilvl w:val="0"/>
          <w:numId w:val="45"/>
        </w:numPr>
        <w:ind w:left="360"/>
      </w:pPr>
      <w:proofErr w:type="spellStart"/>
      <w:r w:rsidRPr="00A61666">
        <w:t>Menter</w:t>
      </w:r>
      <w:proofErr w:type="spellEnd"/>
      <w:r w:rsidRPr="00A61666">
        <w:t xml:space="preserve"> A, Strober BE, Kaplan DH, et al. Joint AAD-NPF guidelines of care for the management and treatment of psoriasis with biologics. J Am </w:t>
      </w:r>
      <w:proofErr w:type="spellStart"/>
      <w:r w:rsidRPr="00A61666">
        <w:t>Acad</w:t>
      </w:r>
      <w:proofErr w:type="spellEnd"/>
      <w:r w:rsidRPr="00A61666">
        <w:t xml:space="preserve"> Dermatol. 2019;80(4):1029-1072.</w:t>
      </w:r>
    </w:p>
    <w:p w14:paraId="492384E4" w14:textId="103A6360" w:rsidR="00810D05" w:rsidRPr="00A61666" w:rsidRDefault="00810D05" w:rsidP="00A61666">
      <w:pPr>
        <w:pStyle w:val="ListParagraph"/>
        <w:numPr>
          <w:ilvl w:val="0"/>
          <w:numId w:val="45"/>
        </w:numPr>
        <w:ind w:left="360"/>
      </w:pPr>
      <w:r w:rsidRPr="00A61666">
        <w:t xml:space="preserve">Coates LC, Soriano ER, Corp N, et al. Group for Research and Assessment of Psoriasis and Psoriatic Arthritis (GRAPPA): updated treatment recommendations for psoriatic arthritis 2021. Nat Rev </w:t>
      </w:r>
      <w:proofErr w:type="spellStart"/>
      <w:r w:rsidRPr="00A61666">
        <w:t>Rheumatol</w:t>
      </w:r>
      <w:proofErr w:type="spellEnd"/>
      <w:r w:rsidRPr="00A61666">
        <w:t>. 2022;18(8):465-479.</w:t>
      </w:r>
    </w:p>
    <w:p w14:paraId="47E1A10C" w14:textId="7F01A734" w:rsidR="00C44990" w:rsidRDefault="00810D05" w:rsidP="005E46E0">
      <w:pPr>
        <w:pStyle w:val="ListParagraph"/>
        <w:numPr>
          <w:ilvl w:val="0"/>
          <w:numId w:val="45"/>
        </w:numPr>
        <w:ind w:left="360"/>
      </w:pPr>
      <w:r w:rsidRPr="00A61666">
        <w:t xml:space="preserve">Testing for TB Infection. Centers for Disease Control and Prevention. Retrieved on January </w:t>
      </w:r>
      <w:r w:rsidR="00FE09A8">
        <w:t>21</w:t>
      </w:r>
      <w:r w:rsidRPr="00A61666">
        <w:t xml:space="preserve">, </w:t>
      </w:r>
      <w:proofErr w:type="gramStart"/>
      <w:r w:rsidR="00140804" w:rsidRPr="00A61666">
        <w:t>202</w:t>
      </w:r>
      <w:r w:rsidR="00FE09A8">
        <w:t>5</w:t>
      </w:r>
      <w:proofErr w:type="gramEnd"/>
      <w:r w:rsidR="00140804" w:rsidRPr="00A61666">
        <w:t xml:space="preserve"> </w:t>
      </w:r>
      <w:r w:rsidRPr="00A61666">
        <w:t xml:space="preserve">from: </w:t>
      </w:r>
      <w:r w:rsidR="00FE09A8" w:rsidRPr="0076217B">
        <w:t>https://www.cdc.gov/tb/testing/index.html</w:t>
      </w:r>
      <w:r w:rsidRPr="00A61666">
        <w:t>.</w:t>
      </w:r>
    </w:p>
    <w:sectPr w:rsidR="00C44990" w:rsidSect="001E32B6">
      <w:headerReference w:type="first" r:id="rId18"/>
      <w:footerReference w:type="first" r:id="rId19"/>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2E9DB" w14:textId="77777777" w:rsidR="009800AA" w:rsidRDefault="009800AA">
      <w:r>
        <w:separator/>
      </w:r>
    </w:p>
  </w:endnote>
  <w:endnote w:type="continuationSeparator" w:id="0">
    <w:p w14:paraId="230D2485" w14:textId="77777777" w:rsidR="009800AA" w:rsidRDefault="009800AA">
      <w:r>
        <w:continuationSeparator/>
      </w:r>
    </w:p>
  </w:endnote>
  <w:endnote w:type="continuationNotice" w:id="1">
    <w:p w14:paraId="67998753" w14:textId="77777777" w:rsidR="009800AA" w:rsidRDefault="00980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F110B" w14:textId="77777777" w:rsidR="00191096" w:rsidRDefault="001910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280F" w14:textId="6C7FAEE0" w:rsidR="00191096" w:rsidRPr="00EC47B6" w:rsidRDefault="00191096" w:rsidP="0019109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37E8B" w:rsidRPr="00737E8B">
      <w:rPr>
        <w:rFonts w:cs="Arial"/>
        <w:noProof/>
        <w:sz w:val="16"/>
        <w:szCs w:val="16"/>
      </w:rPr>
      <w:t>Sotyktu</w:t>
    </w:r>
    <w:r w:rsidR="00737E8B">
      <w:rPr>
        <w:rFonts w:cs="Arial"/>
        <w:noProof/>
        <w:snapToGrid w:val="0"/>
        <w:color w:val="000000"/>
        <w:sz w:val="16"/>
        <w:szCs w:val="16"/>
      </w:rPr>
      <w:t xml:space="preserve"> SGM 5600-A</w:t>
    </w:r>
    <w:r w:rsidR="00737E8B" w:rsidRPr="00737E8B">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3B36A9D5" w14:textId="77777777" w:rsidR="00191096" w:rsidRPr="00EC47B6" w:rsidRDefault="00191096" w:rsidP="0019109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3BCEE20" w:rsidR="00F75C81" w:rsidRPr="00AA1E6A" w:rsidRDefault="00191096" w:rsidP="00E040D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DA5905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37E8B" w:rsidRPr="00737E8B">
      <w:rPr>
        <w:rFonts w:cs="Arial"/>
        <w:noProof/>
        <w:sz w:val="16"/>
        <w:szCs w:val="16"/>
      </w:rPr>
      <w:t>Sotyktu</w:t>
    </w:r>
    <w:r w:rsidR="00737E8B">
      <w:rPr>
        <w:rFonts w:cs="Arial"/>
        <w:noProof/>
        <w:snapToGrid w:val="0"/>
        <w:color w:val="000000"/>
        <w:sz w:val="16"/>
        <w:szCs w:val="16"/>
      </w:rPr>
      <w:t xml:space="preserve"> SGM 5600-A</w:t>
    </w:r>
    <w:r w:rsidR="00737E8B" w:rsidRPr="00737E8B">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B506A0">
      <w:rPr>
        <w:rFonts w:cs="Arial"/>
        <w:snapToGrid w:val="0"/>
        <w:color w:val="000000"/>
        <w:sz w:val="16"/>
      </w:rPr>
      <w:t>5</w:t>
    </w:r>
    <w:r w:rsidRPr="00EC47B6">
      <w:rPr>
        <w:rFonts w:cs="Arial"/>
        <w:snapToGrid w:val="0"/>
        <w:color w:val="000000"/>
        <w:sz w:val="16"/>
      </w:rPr>
      <w:t xml:space="preserve"> CVS Caremark. All rights reserved.</w:t>
    </w:r>
  </w:p>
  <w:p w14:paraId="39BFE579" w14:textId="0451712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4E3C3BF" w:rsidR="00ED04EC" w:rsidRPr="00F50D98" w:rsidRDefault="00F50D98" w:rsidP="005E46E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AE0F6" w14:textId="77777777" w:rsidR="009800AA" w:rsidRDefault="009800AA">
      <w:r>
        <w:separator/>
      </w:r>
    </w:p>
  </w:footnote>
  <w:footnote w:type="continuationSeparator" w:id="0">
    <w:p w14:paraId="3CB44666" w14:textId="77777777" w:rsidR="009800AA" w:rsidRDefault="009800AA">
      <w:r>
        <w:continuationSeparator/>
      </w:r>
    </w:p>
  </w:footnote>
  <w:footnote w:type="continuationNotice" w:id="1">
    <w:p w14:paraId="19696879" w14:textId="77777777" w:rsidR="009800AA" w:rsidRDefault="00980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B26D" w14:textId="77777777" w:rsidR="00191096" w:rsidRDefault="001910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5733E7" w14:paraId="16262E63" w14:textId="77777777" w:rsidTr="0006569F">
      <w:trPr>
        <w:trHeight w:val="144"/>
        <w:jc w:val="right"/>
      </w:trPr>
      <w:tc>
        <w:tcPr>
          <w:tcW w:w="1854" w:type="dxa"/>
          <w:hideMark/>
        </w:tcPr>
        <w:p w14:paraId="18F550B7" w14:textId="77777777" w:rsidR="00ED04EC" w:rsidRPr="005733E7" w:rsidRDefault="00ED04EC" w:rsidP="00ED04EC">
          <w:pPr>
            <w:pStyle w:val="Header"/>
            <w:rPr>
              <w:rFonts w:cs="Arial"/>
              <w:sz w:val="16"/>
              <w:szCs w:val="16"/>
            </w:rPr>
          </w:pPr>
          <w:r w:rsidRPr="005733E7">
            <w:rPr>
              <w:rFonts w:cs="Arial"/>
              <w:sz w:val="16"/>
              <w:szCs w:val="16"/>
            </w:rPr>
            <w:t>Reference number(s)</w:t>
          </w:r>
        </w:p>
      </w:tc>
    </w:tr>
    <w:tr w:rsidR="00ED04EC" w:rsidRPr="005733E7" w14:paraId="703C6588" w14:textId="77777777" w:rsidTr="0006569F">
      <w:trPr>
        <w:trHeight w:val="378"/>
        <w:jc w:val="right"/>
      </w:trPr>
      <w:tc>
        <w:tcPr>
          <w:tcW w:w="1854" w:type="dxa"/>
          <w:hideMark/>
        </w:tcPr>
        <w:p w14:paraId="51CE3E64" w14:textId="68CA6BCB" w:rsidR="00ED04EC" w:rsidRPr="005733E7" w:rsidRDefault="00810D05" w:rsidP="00ED04EC">
          <w:pPr>
            <w:pStyle w:val="Header"/>
            <w:rPr>
              <w:rFonts w:cs="Arial"/>
              <w:sz w:val="16"/>
              <w:szCs w:val="16"/>
            </w:rPr>
          </w:pPr>
          <w:r w:rsidRPr="005733E7">
            <w:rPr>
              <w:rFonts w:cs="Arial"/>
              <w:sz w:val="16"/>
              <w:szCs w:val="16"/>
            </w:rPr>
            <w:t>5600-A</w:t>
          </w:r>
        </w:p>
      </w:tc>
    </w:tr>
  </w:tbl>
  <w:p w14:paraId="0D5ACCC2" w14:textId="462A1075" w:rsidR="00ED04EC" w:rsidRPr="005733E7"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2E828" w14:textId="77777777" w:rsidR="00191096" w:rsidRDefault="001910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34EDE259" w:rsidR="000F5383" w:rsidRPr="00FF66BF" w:rsidRDefault="00810D05" w:rsidP="009E1F57">
          <w:pPr>
            <w:pStyle w:val="RefTableHeader"/>
          </w:pPr>
          <w:r>
            <w:t>5600-A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76CBB"/>
    <w:multiLevelType w:val="hybridMultilevel"/>
    <w:tmpl w:val="ECEA78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7B61EA"/>
    <w:multiLevelType w:val="hybridMultilevel"/>
    <w:tmpl w:val="1A4EA7E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BED30EF"/>
    <w:multiLevelType w:val="hybridMultilevel"/>
    <w:tmpl w:val="DFE88B04"/>
    <w:lvl w:ilvl="0" w:tplc="9C6C7474">
      <w:start w:val="1"/>
      <w:numFmt w:val="upperLetter"/>
      <w:lvlText w:val="%1."/>
      <w:lvlJc w:val="left"/>
      <w:pPr>
        <w:ind w:left="1080" w:hanging="720"/>
      </w:pPr>
      <w:rPr>
        <w:rFonts w:hint="default"/>
      </w:rPr>
    </w:lvl>
    <w:lvl w:ilvl="1" w:tplc="716E1040">
      <w:start w:val="1"/>
      <w:numFmt w:val="decimal"/>
      <w:lvlText w:val="%2."/>
      <w:lvlJc w:val="left"/>
      <w:pPr>
        <w:ind w:left="1800" w:hanging="720"/>
      </w:pPr>
      <w:rPr>
        <w:rFonts w:hint="default"/>
      </w:rPr>
    </w:lvl>
    <w:lvl w:ilvl="2" w:tplc="838CFFB2">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7414EBB"/>
    <w:multiLevelType w:val="hybridMultilevel"/>
    <w:tmpl w:val="2ED64C08"/>
    <w:lvl w:ilvl="0" w:tplc="37BEE3EC">
      <w:start w:val="1"/>
      <w:numFmt w:val="upperLetter"/>
      <w:lvlText w:val="%1."/>
      <w:lvlJc w:val="left"/>
      <w:pPr>
        <w:ind w:left="1080" w:hanging="720"/>
      </w:pPr>
      <w:rPr>
        <w:rFonts w:hint="default"/>
      </w:rPr>
    </w:lvl>
    <w:lvl w:ilvl="1" w:tplc="5B565AF4">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AC3F87"/>
    <w:multiLevelType w:val="hybridMultilevel"/>
    <w:tmpl w:val="E0D021E2"/>
    <w:lvl w:ilvl="0" w:tplc="3600080A">
      <w:start w:val="1"/>
      <w:numFmt w:val="bullet"/>
      <w:lvlText w:val=""/>
      <w:lvlJc w:val="left"/>
      <w:pPr>
        <w:ind w:left="720" w:hanging="360"/>
      </w:pPr>
      <w:rPr>
        <w:rFonts w:ascii="Symbol" w:hAnsi="Symbol"/>
      </w:rPr>
    </w:lvl>
    <w:lvl w:ilvl="1" w:tplc="D7C41164">
      <w:start w:val="1"/>
      <w:numFmt w:val="bullet"/>
      <w:lvlText w:val=""/>
      <w:lvlJc w:val="left"/>
      <w:pPr>
        <w:ind w:left="720" w:hanging="360"/>
      </w:pPr>
      <w:rPr>
        <w:rFonts w:ascii="Symbol" w:hAnsi="Symbol"/>
      </w:rPr>
    </w:lvl>
    <w:lvl w:ilvl="2" w:tplc="7180DC16">
      <w:start w:val="1"/>
      <w:numFmt w:val="bullet"/>
      <w:lvlText w:val=""/>
      <w:lvlJc w:val="left"/>
      <w:pPr>
        <w:ind w:left="720" w:hanging="360"/>
      </w:pPr>
      <w:rPr>
        <w:rFonts w:ascii="Symbol" w:hAnsi="Symbol"/>
      </w:rPr>
    </w:lvl>
    <w:lvl w:ilvl="3" w:tplc="BA0E3E3C">
      <w:start w:val="1"/>
      <w:numFmt w:val="bullet"/>
      <w:lvlText w:val=""/>
      <w:lvlJc w:val="left"/>
      <w:pPr>
        <w:ind w:left="720" w:hanging="360"/>
      </w:pPr>
      <w:rPr>
        <w:rFonts w:ascii="Symbol" w:hAnsi="Symbol"/>
      </w:rPr>
    </w:lvl>
    <w:lvl w:ilvl="4" w:tplc="D9ECDED6">
      <w:start w:val="1"/>
      <w:numFmt w:val="bullet"/>
      <w:lvlText w:val=""/>
      <w:lvlJc w:val="left"/>
      <w:pPr>
        <w:ind w:left="720" w:hanging="360"/>
      </w:pPr>
      <w:rPr>
        <w:rFonts w:ascii="Symbol" w:hAnsi="Symbol"/>
      </w:rPr>
    </w:lvl>
    <w:lvl w:ilvl="5" w:tplc="38EAC4C8">
      <w:start w:val="1"/>
      <w:numFmt w:val="bullet"/>
      <w:lvlText w:val=""/>
      <w:lvlJc w:val="left"/>
      <w:pPr>
        <w:ind w:left="720" w:hanging="360"/>
      </w:pPr>
      <w:rPr>
        <w:rFonts w:ascii="Symbol" w:hAnsi="Symbol"/>
      </w:rPr>
    </w:lvl>
    <w:lvl w:ilvl="6" w:tplc="BD06052C">
      <w:start w:val="1"/>
      <w:numFmt w:val="bullet"/>
      <w:lvlText w:val=""/>
      <w:lvlJc w:val="left"/>
      <w:pPr>
        <w:ind w:left="720" w:hanging="360"/>
      </w:pPr>
      <w:rPr>
        <w:rFonts w:ascii="Symbol" w:hAnsi="Symbol"/>
      </w:rPr>
    </w:lvl>
    <w:lvl w:ilvl="7" w:tplc="D10073AC">
      <w:start w:val="1"/>
      <w:numFmt w:val="bullet"/>
      <w:lvlText w:val=""/>
      <w:lvlJc w:val="left"/>
      <w:pPr>
        <w:ind w:left="720" w:hanging="360"/>
      </w:pPr>
      <w:rPr>
        <w:rFonts w:ascii="Symbol" w:hAnsi="Symbol"/>
      </w:rPr>
    </w:lvl>
    <w:lvl w:ilvl="8" w:tplc="004A7EA6">
      <w:start w:val="1"/>
      <w:numFmt w:val="bullet"/>
      <w:lvlText w:val=""/>
      <w:lvlJc w:val="left"/>
      <w:pPr>
        <w:ind w:left="720" w:hanging="360"/>
      </w:pPr>
      <w:rPr>
        <w:rFonts w:ascii="Symbol" w:hAnsi="Symbol"/>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B8253CA"/>
    <w:multiLevelType w:val="hybridMultilevel"/>
    <w:tmpl w:val="8A94E78A"/>
    <w:lvl w:ilvl="0" w:tplc="390CE71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854CA8"/>
    <w:multiLevelType w:val="hybridMultilevel"/>
    <w:tmpl w:val="1AB6F6CE"/>
    <w:lvl w:ilvl="0" w:tplc="61E897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D948A8"/>
    <w:multiLevelType w:val="hybridMultilevel"/>
    <w:tmpl w:val="4EEAF68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253FC8"/>
    <w:multiLevelType w:val="hybridMultilevel"/>
    <w:tmpl w:val="847E605A"/>
    <w:lvl w:ilvl="0" w:tplc="E5A20B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A27037"/>
    <w:multiLevelType w:val="hybridMultilevel"/>
    <w:tmpl w:val="647C67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E571F8"/>
    <w:multiLevelType w:val="hybridMultilevel"/>
    <w:tmpl w:val="7CAE890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215702F"/>
    <w:multiLevelType w:val="hybridMultilevel"/>
    <w:tmpl w:val="FB8236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E1C7B"/>
    <w:multiLevelType w:val="hybridMultilevel"/>
    <w:tmpl w:val="9FD42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0C072A"/>
    <w:multiLevelType w:val="hybridMultilevel"/>
    <w:tmpl w:val="E6D6633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9D5B17"/>
    <w:multiLevelType w:val="hybridMultilevel"/>
    <w:tmpl w:val="7206F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0536AA"/>
    <w:multiLevelType w:val="hybridMultilevel"/>
    <w:tmpl w:val="8CF2A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C03765"/>
    <w:multiLevelType w:val="hybridMultilevel"/>
    <w:tmpl w:val="97806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3066E4"/>
    <w:multiLevelType w:val="hybridMultilevel"/>
    <w:tmpl w:val="1BD2C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154900"/>
    <w:multiLevelType w:val="hybridMultilevel"/>
    <w:tmpl w:val="93A24624"/>
    <w:lvl w:ilvl="0" w:tplc="FFFFFFFF">
      <w:start w:val="1"/>
      <w:numFmt w:val="bullet"/>
      <w:lvlText w:val=""/>
      <w:lvlJc w:val="left"/>
      <w:pPr>
        <w:ind w:left="324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D20489"/>
    <w:multiLevelType w:val="hybridMultilevel"/>
    <w:tmpl w:val="4876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6D563E"/>
    <w:multiLevelType w:val="hybridMultilevel"/>
    <w:tmpl w:val="48985398"/>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6FE31CB8"/>
    <w:multiLevelType w:val="hybridMultilevel"/>
    <w:tmpl w:val="F124A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40"/>
  </w:num>
  <w:num w:numId="3" w16cid:durableId="611589570">
    <w:abstractNumId w:val="3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5"/>
  </w:num>
  <w:num w:numId="17" w16cid:durableId="2128498676">
    <w:abstractNumId w:val="45"/>
  </w:num>
  <w:num w:numId="18" w16cid:durableId="299724409">
    <w:abstractNumId w:val="37"/>
  </w:num>
  <w:num w:numId="19" w16cid:durableId="214585573">
    <w:abstractNumId w:val="18"/>
  </w:num>
  <w:num w:numId="20" w16cid:durableId="1289816170">
    <w:abstractNumId w:val="19"/>
  </w:num>
  <w:num w:numId="21" w16cid:durableId="1066490929">
    <w:abstractNumId w:val="46"/>
  </w:num>
  <w:num w:numId="22" w16cid:durableId="1472481103">
    <w:abstractNumId w:val="39"/>
  </w:num>
  <w:num w:numId="23" w16cid:durableId="1997420403">
    <w:abstractNumId w:val="42"/>
  </w:num>
  <w:num w:numId="24" w16cid:durableId="33312838">
    <w:abstractNumId w:val="38"/>
  </w:num>
  <w:num w:numId="25" w16cid:durableId="507404939">
    <w:abstractNumId w:val="22"/>
  </w:num>
  <w:num w:numId="26" w16cid:durableId="1121454591">
    <w:abstractNumId w:val="26"/>
  </w:num>
  <w:num w:numId="27" w16cid:durableId="782723159">
    <w:abstractNumId w:val="16"/>
  </w:num>
  <w:num w:numId="28" w16cid:durableId="573391609">
    <w:abstractNumId w:val="12"/>
  </w:num>
  <w:num w:numId="29" w16cid:durableId="156044734">
    <w:abstractNumId w:val="35"/>
  </w:num>
  <w:num w:numId="30" w16cid:durableId="883325795">
    <w:abstractNumId w:val="13"/>
  </w:num>
  <w:num w:numId="31" w16cid:durableId="415514415">
    <w:abstractNumId w:val="27"/>
  </w:num>
  <w:num w:numId="32" w16cid:durableId="48381405">
    <w:abstractNumId w:val="10"/>
  </w:num>
  <w:num w:numId="33" w16cid:durableId="1788812100">
    <w:abstractNumId w:val="29"/>
  </w:num>
  <w:num w:numId="34" w16cid:durableId="1313368128">
    <w:abstractNumId w:val="20"/>
  </w:num>
  <w:num w:numId="35" w16cid:durableId="1686638434">
    <w:abstractNumId w:val="31"/>
  </w:num>
  <w:num w:numId="36" w16cid:durableId="899092641">
    <w:abstractNumId w:val="21"/>
  </w:num>
  <w:num w:numId="37" w16cid:durableId="353388961">
    <w:abstractNumId w:val="44"/>
  </w:num>
  <w:num w:numId="38" w16cid:durableId="893735176">
    <w:abstractNumId w:val="24"/>
  </w:num>
  <w:num w:numId="39" w16cid:durableId="1494952337">
    <w:abstractNumId w:val="34"/>
  </w:num>
  <w:num w:numId="40" w16cid:durableId="307051718">
    <w:abstractNumId w:val="23"/>
  </w:num>
  <w:num w:numId="41" w16cid:durableId="359821651">
    <w:abstractNumId w:val="30"/>
  </w:num>
  <w:num w:numId="42" w16cid:durableId="1172257705">
    <w:abstractNumId w:val="46"/>
  </w:num>
  <w:num w:numId="43" w16cid:durableId="1501776701">
    <w:abstractNumId w:val="46"/>
  </w:num>
  <w:num w:numId="44" w16cid:durableId="711878625">
    <w:abstractNumId w:val="41"/>
  </w:num>
  <w:num w:numId="45" w16cid:durableId="2122645832">
    <w:abstractNumId w:val="32"/>
  </w:num>
  <w:num w:numId="46" w16cid:durableId="450393397">
    <w:abstractNumId w:val="28"/>
  </w:num>
  <w:num w:numId="47" w16cid:durableId="2004359635">
    <w:abstractNumId w:val="43"/>
  </w:num>
  <w:num w:numId="48" w16cid:durableId="1094591455">
    <w:abstractNumId w:val="36"/>
  </w:num>
  <w:num w:numId="49" w16cid:durableId="1622149851">
    <w:abstractNumId w:val="46"/>
  </w:num>
  <w:num w:numId="50" w16cid:durableId="513571571">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4699"/>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AD7"/>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7EF"/>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5EB4"/>
    <w:rsid w:val="00136BE6"/>
    <w:rsid w:val="001370F9"/>
    <w:rsid w:val="00137657"/>
    <w:rsid w:val="00137956"/>
    <w:rsid w:val="00137C7B"/>
    <w:rsid w:val="00140804"/>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6B0F"/>
    <w:rsid w:val="00187BCC"/>
    <w:rsid w:val="00190200"/>
    <w:rsid w:val="00191096"/>
    <w:rsid w:val="001914C8"/>
    <w:rsid w:val="001916D1"/>
    <w:rsid w:val="00191904"/>
    <w:rsid w:val="00192769"/>
    <w:rsid w:val="001933EE"/>
    <w:rsid w:val="00193696"/>
    <w:rsid w:val="001944B7"/>
    <w:rsid w:val="0019677F"/>
    <w:rsid w:val="001969B1"/>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2B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6570"/>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1F48"/>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371"/>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38F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2E49"/>
    <w:rsid w:val="0033351E"/>
    <w:rsid w:val="00333878"/>
    <w:rsid w:val="00333FEE"/>
    <w:rsid w:val="003357AB"/>
    <w:rsid w:val="00336015"/>
    <w:rsid w:val="003363E7"/>
    <w:rsid w:val="003364EB"/>
    <w:rsid w:val="00336990"/>
    <w:rsid w:val="0034083D"/>
    <w:rsid w:val="003409BE"/>
    <w:rsid w:val="00340B83"/>
    <w:rsid w:val="00341929"/>
    <w:rsid w:val="00341F47"/>
    <w:rsid w:val="00342365"/>
    <w:rsid w:val="00343BE2"/>
    <w:rsid w:val="00343E90"/>
    <w:rsid w:val="00344453"/>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4936"/>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5E"/>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6EF"/>
    <w:rsid w:val="00447E12"/>
    <w:rsid w:val="004507D8"/>
    <w:rsid w:val="00451431"/>
    <w:rsid w:val="004516EC"/>
    <w:rsid w:val="00452B20"/>
    <w:rsid w:val="00453D7B"/>
    <w:rsid w:val="004548ED"/>
    <w:rsid w:val="00454A31"/>
    <w:rsid w:val="00456003"/>
    <w:rsid w:val="00456A47"/>
    <w:rsid w:val="00457794"/>
    <w:rsid w:val="0045790D"/>
    <w:rsid w:val="00457BC4"/>
    <w:rsid w:val="00460001"/>
    <w:rsid w:val="0046058E"/>
    <w:rsid w:val="00460F4A"/>
    <w:rsid w:val="00460F61"/>
    <w:rsid w:val="0046197A"/>
    <w:rsid w:val="00461A9E"/>
    <w:rsid w:val="00462FA2"/>
    <w:rsid w:val="00465D41"/>
    <w:rsid w:val="0046600F"/>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F51"/>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3E7"/>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2A28"/>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53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6E0"/>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17D8"/>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16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1DC"/>
    <w:rsid w:val="007173D7"/>
    <w:rsid w:val="00717ADD"/>
    <w:rsid w:val="007200B1"/>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37E8B"/>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74B"/>
    <w:rsid w:val="00785A2E"/>
    <w:rsid w:val="007860BA"/>
    <w:rsid w:val="00786EFB"/>
    <w:rsid w:val="007876BF"/>
    <w:rsid w:val="00787FE9"/>
    <w:rsid w:val="007908C6"/>
    <w:rsid w:val="00790BF9"/>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0F1"/>
    <w:rsid w:val="007D223D"/>
    <w:rsid w:val="007D3BE5"/>
    <w:rsid w:val="007D5505"/>
    <w:rsid w:val="007D5B5D"/>
    <w:rsid w:val="007D68CB"/>
    <w:rsid w:val="007D7A1C"/>
    <w:rsid w:val="007D7D7B"/>
    <w:rsid w:val="007D7FE6"/>
    <w:rsid w:val="007E00AB"/>
    <w:rsid w:val="007E01A4"/>
    <w:rsid w:val="007E03EC"/>
    <w:rsid w:val="007E0581"/>
    <w:rsid w:val="007E098E"/>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0D05"/>
    <w:rsid w:val="00810F56"/>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1F17"/>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5E23"/>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580"/>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4FA0"/>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00AA"/>
    <w:rsid w:val="00981066"/>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092"/>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B67"/>
    <w:rsid w:val="00A278EB"/>
    <w:rsid w:val="00A30ABB"/>
    <w:rsid w:val="00A320D9"/>
    <w:rsid w:val="00A326BC"/>
    <w:rsid w:val="00A32801"/>
    <w:rsid w:val="00A33A01"/>
    <w:rsid w:val="00A33BC1"/>
    <w:rsid w:val="00A33C4B"/>
    <w:rsid w:val="00A33F92"/>
    <w:rsid w:val="00A342EB"/>
    <w:rsid w:val="00A347E8"/>
    <w:rsid w:val="00A358F0"/>
    <w:rsid w:val="00A35CD1"/>
    <w:rsid w:val="00A36422"/>
    <w:rsid w:val="00A36474"/>
    <w:rsid w:val="00A36C12"/>
    <w:rsid w:val="00A37EFC"/>
    <w:rsid w:val="00A40451"/>
    <w:rsid w:val="00A40764"/>
    <w:rsid w:val="00A40A9D"/>
    <w:rsid w:val="00A412F8"/>
    <w:rsid w:val="00A41637"/>
    <w:rsid w:val="00A41972"/>
    <w:rsid w:val="00A41BCD"/>
    <w:rsid w:val="00A41D75"/>
    <w:rsid w:val="00A42FA9"/>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666"/>
    <w:rsid w:val="00A618ED"/>
    <w:rsid w:val="00A61B9A"/>
    <w:rsid w:val="00A61E26"/>
    <w:rsid w:val="00A61FC3"/>
    <w:rsid w:val="00A65280"/>
    <w:rsid w:val="00A655D6"/>
    <w:rsid w:val="00A656CE"/>
    <w:rsid w:val="00A661A9"/>
    <w:rsid w:val="00A66B5B"/>
    <w:rsid w:val="00A66E07"/>
    <w:rsid w:val="00A672B3"/>
    <w:rsid w:val="00A676CB"/>
    <w:rsid w:val="00A67BE5"/>
    <w:rsid w:val="00A70D4D"/>
    <w:rsid w:val="00A7182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18A"/>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9F1"/>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956"/>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6A0"/>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2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EA4"/>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64C"/>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3787D"/>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B27"/>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4EE7"/>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6EFC"/>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60E"/>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2BFE"/>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0DD"/>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07B7"/>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4F2F"/>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C7D"/>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0F3F"/>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2A6"/>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9A8"/>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0A5C0A90"/>
    <w:rsid w:val="0D22655C"/>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3B2293C3-4C9E-4AEE-9887-D02AAE349D68}"/>
</file>

<file path=docProps/app.xml><?xml version="1.0" encoding="utf-8"?>
<Properties xmlns="http://schemas.openxmlformats.org/officeDocument/2006/extended-properties" xmlns:vt="http://schemas.openxmlformats.org/officeDocument/2006/docPropsVTypes">
  <Template>Normal.dotm</Template>
  <TotalTime>3</TotalTime>
  <Pages>4</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Sotyktu SGM 5600-A</vt:lpstr>
    </vt:vector>
  </TitlesOfParts>
  <Company>CVS Caremark</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Sotyktu SGM 5600-A</dc:title>
  <dc:subject>Sotyktu SGM 5600-A</dc:subject>
  <dc:creator>CVS Caremark</dc:creator>
  <cp:keywords/>
  <cp:lastModifiedBy>Reynoso, Victor H</cp:lastModifiedBy>
  <cp:revision>4</cp:revision>
  <cp:lastPrinted>2024-04-12T09:57:00Z</cp:lastPrinted>
  <dcterms:created xsi:type="dcterms:W3CDTF">2025-04-28T18:02:00Z</dcterms:created>
  <dcterms:modified xsi:type="dcterms:W3CDTF">2025-04-28T18:04:00Z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557400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